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E56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0"/>
          <w:szCs w:val="40"/>
          <w:bdr w:val="none" w:color="auto" w:sz="0" w:space="0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0"/>
          <w:szCs w:val="40"/>
          <w:bdr w:val="none" w:color="auto" w:sz="0" w:space="0"/>
          <w:shd w:val="clear" w:fill="FFFFFF"/>
          <w:lang w:eastAsia="zh-CN"/>
        </w:rPr>
        <w:t>涉企检查事项和依据</w:t>
      </w:r>
    </w:p>
    <w:bookmarkEnd w:id="0"/>
    <w:p w14:paraId="2C490D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0"/>
          <w:szCs w:val="40"/>
          <w:bdr w:val="none" w:color="auto" w:sz="0" w:space="0"/>
          <w:shd w:val="clear" w:fill="FFFFFF"/>
          <w:lang w:eastAsia="zh-CN"/>
        </w:rPr>
      </w:pPr>
    </w:p>
    <w:p w14:paraId="465EF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0"/>
          <w:szCs w:val="40"/>
          <w:bdr w:val="none" w:color="auto" w:sz="0" w:space="0"/>
          <w:shd w:val="clear" w:fill="FFFFFF"/>
          <w:lang w:eastAsia="zh-CN"/>
        </w:rPr>
      </w:pPr>
    </w:p>
    <w:tbl>
      <w:tblPr>
        <w:tblW w:w="0" w:type="auto"/>
        <w:tblInd w:w="0" w:type="dxa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1"/>
        <w:gridCol w:w="2816"/>
        <w:gridCol w:w="5221"/>
      </w:tblGrid>
      <w:tr w14:paraId="3EF574C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5291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846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bdr w:val="none" w:color="auto" w:sz="0" w:space="0"/>
                <w:lang w:eastAsia="zh-CN"/>
              </w:rPr>
              <w:t>行政检查事项名称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BE08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bdr w:val="none" w:color="auto" w:sz="0" w:space="0"/>
                <w:lang w:eastAsia="zh-CN"/>
              </w:rPr>
              <w:t>检查依据</w:t>
            </w:r>
          </w:p>
        </w:tc>
      </w:tr>
      <w:tr w14:paraId="5AD1E94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D840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550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bdr w:val="none" w:color="auto" w:sz="0" w:space="0"/>
              </w:rPr>
              <w:t>对全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bdr w:val="none" w:color="auto" w:sz="0" w:space="0"/>
                <w:lang w:eastAsia="zh-CN"/>
              </w:rPr>
              <w:t>县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bdr w:val="none" w:color="auto" w:sz="0" w:space="0"/>
              </w:rPr>
              <w:t>道路运输企业、货运源头企业、驾培机构、维修机构，道路客、货运场站及道路运输辅助业行政检查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14D2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bdr w:val="none" w:color="auto" w:sz="0" w:space="0"/>
              </w:rPr>
              <w:t>《公路法》、《安全生产法》、《中华人民共和国反恐怖主义法》、《中华人民共和国道路运输条例》、《公路安全保护条例》、《河南省治理货物运输超限超载条例》、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bdr w:val="none" w:color="auto" w:sz="0" w:space="0"/>
                <w:lang w:eastAsia="zh-CN"/>
              </w:rPr>
              <w:t>《河南省道路运输条例》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bdr w:val="none" w:color="auto" w:sz="0" w:space="0"/>
              </w:rPr>
              <w:t>等相关法律法规</w:t>
            </w:r>
          </w:p>
        </w:tc>
      </w:tr>
      <w:tr w14:paraId="1BCD27D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143B17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0A73010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F847F08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</w:tr>
    </w:tbl>
    <w:p w14:paraId="02FA0C59">
      <w:pPr>
        <w:rPr>
          <w:color w:val="auto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F493D"/>
    <w:rsid w:val="26B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2025-09-24T09:02:00Z</dcterms:created>
  <dc:creator>jolin</dc:creator>
  <cp:lastModifiedBy>jolin</cp:lastModifiedBy>
  <dcterms:modified xsi:type="dcterms:W3CDTF">2025-09-24T09:03:30Z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1CB6E0F9CC414DC184508D44EBF2B8C2_11</vt:lpwstr>
  </property>
  <property fmtid="{D5CDD505-2E9C-101B-9397-08002B2CF9AE}" pid="4" name="KSOTemplateDocerSaveRecord">
    <vt:lpwstr>eyJoZGlkIjoiNGQ5MTg0MWE4OTcxODM0ZDU0OTk5MWQ3NTM2MWU1ZDQiLCJ1c2VySWQiOiIzMTc0Mjg5MjEifQ==</vt:lpwstr>
  </property>
</Properties>
</file>